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Iscrizione a ruolo entrate tributarie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nell'iscrivere a ruolo le entrate tributarie a seguito dell'inadempimento del contribuente.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Come per i tributi dai quali hanno ereditato la struttura impositiva (Ici e Tarsu) conclusa la fase accertativa, per le somme certe, liquide ed esigibili, frutto di avvisi di accertamento regolarmente notificati, non pagati e non contestati, l'ente deve provvedere a emettere il titolo esecutivo, trovandosi di fronte a una duplice soluzione: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a) la riscossione diretta anche nella fase coattiva attraverso l'emissione dell'ingiunzione di pagamento, in base al regio decreto 639/1910 rinforzata dall'assimilazione al titolo II del Dpr 602/1973;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b) l'emissione del ruolo coattivo, in base al Dpr 602/1973 e del Dlgs 112/1999.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Decreti legislativi di riforma delle sanzioni tributarie - L. 212/2000 (Statuto del contribuente) - L. 296/2006 - Regolamento generale delle entrate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